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590E4F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590E4F" w:rsidRDefault="00590E4F" w:rsidP="00590E4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6F9E4C7D" w:rsidR="00590E4F" w:rsidRPr="000F456B" w:rsidRDefault="00590E4F" w:rsidP="00590E4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590E4F">
              <w:rPr>
                <w:rFonts w:cs="Times New Roman"/>
                <w:b/>
                <w:color w:val="000000" w:themeColor="text1"/>
              </w:rPr>
              <w:t>Základné služby a obnova dedín vo vidieckych oblastiach – 7.5</w:t>
            </w:r>
          </w:p>
        </w:tc>
      </w:tr>
      <w:tr w:rsidR="00590E4F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590E4F" w:rsidRDefault="00590E4F" w:rsidP="00590E4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60C1B48E" w:rsidR="00590E4F" w:rsidRPr="000F456B" w:rsidRDefault="00590E4F" w:rsidP="00590E4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590E4F">
              <w:rPr>
                <w:rFonts w:cs="Times New Roman"/>
                <w:b/>
                <w:color w:val="000000" w:themeColor="text1"/>
              </w:rPr>
              <w:t>7.5. – Podpora na investície do rekreačnej infraštruktúry, turistických informácií a do turistickej infraštruktúry malých rozmerov na verejné využitie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01D46274" w:rsidR="004347C6" w:rsidRPr="000F456B" w:rsidRDefault="00475204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9BEE1B7" w:rsidR="004347C6" w:rsidRDefault="00475204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EB5B7A">
          <w:rPr>
            <w:rStyle w:val="Vrazn"/>
            <w:color w:val="000000" w:themeColor="text1"/>
            <w:sz w:val="28"/>
            <w:szCs w:val="28"/>
          </w:rPr>
          <w:t>3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>
            <w:rPr>
              <w:rStyle w:val="Vrazn"/>
            </w:rPr>
          </w:sdtEnd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436BDA0A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475204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475204">
        <w:rPr>
          <w:rFonts w:cstheme="minorHAnsi"/>
        </w:rPr>
      </w:r>
      <w:r w:rsidR="00475204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7A802232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475204">
        <w:rPr>
          <w:rFonts w:cstheme="minorHAnsi"/>
          <w:b/>
          <w:szCs w:val="19"/>
          <w:lang w:eastAsia="sk-SK"/>
        </w:rPr>
        <w:t>09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7DFC610" w14:textId="082F3560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r w:rsidR="00475204">
        <w:rPr>
          <w:rFonts w:cstheme="minorHAnsi"/>
          <w:b/>
          <w:szCs w:val="19"/>
          <w:lang w:eastAsia="sk-SK"/>
        </w:rPr>
        <w:t>16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50C95F9E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EB5B7A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</w:t>
      </w:r>
      <w:r w:rsidRPr="004E1951">
        <w:rPr>
          <w:rFonts w:cs="Times New Roman"/>
        </w:rPr>
        <w:lastRenderedPageBreak/>
        <w:t xml:space="preserve">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4C9BA81D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EB5B7A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ED3BC02" w:rsidR="0099544E" w:rsidRDefault="0099544E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75204">
              <w:rPr>
                <w:rFonts w:eastAsia="Calibri" w:cs="Times New Roman"/>
                <w:sz w:val="20"/>
                <w:szCs w:val="20"/>
              </w:rPr>
            </w:r>
            <w:r w:rsidR="004752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75204">
              <w:rPr>
                <w:rFonts w:asciiTheme="minorHAnsi" w:eastAsia="Calibri" w:hAnsiTheme="minorHAnsi"/>
              </w:rPr>
            </w:r>
            <w:r w:rsidR="0047520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475204">
              <w:rPr>
                <w:rFonts w:eastAsia="Calibri"/>
              </w:rPr>
            </w:r>
            <w:r w:rsidR="00475204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75204">
              <w:rPr>
                <w:rFonts w:eastAsia="Calibri" w:cs="Times New Roman"/>
                <w:sz w:val="20"/>
                <w:szCs w:val="20"/>
              </w:rPr>
            </w:r>
            <w:r w:rsidR="004752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D80D" w14:textId="77777777" w:rsidR="00340D66" w:rsidRDefault="00340D66" w:rsidP="00FC1411">
      <w:pPr>
        <w:spacing w:after="0" w:line="240" w:lineRule="auto"/>
      </w:pPr>
      <w:r>
        <w:separator/>
      </w:r>
    </w:p>
  </w:endnote>
  <w:endnote w:type="continuationSeparator" w:id="0">
    <w:p w14:paraId="0550973C" w14:textId="77777777" w:rsidR="00340D66" w:rsidRDefault="00340D66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4B3B" w14:textId="77777777" w:rsidR="00340D66" w:rsidRDefault="00340D66" w:rsidP="00FC1411">
      <w:pPr>
        <w:spacing w:after="0" w:line="240" w:lineRule="auto"/>
      </w:pPr>
      <w:r>
        <w:separator/>
      </w:r>
    </w:p>
  </w:footnote>
  <w:footnote w:type="continuationSeparator" w:id="0">
    <w:p w14:paraId="4DA140DB" w14:textId="77777777" w:rsidR="00340D66" w:rsidRDefault="00340D66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56B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75204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386201"/>
    <w:rsid w:val="00496594"/>
    <w:rsid w:val="0056573B"/>
    <w:rsid w:val="005A0A2C"/>
    <w:rsid w:val="00775CAF"/>
    <w:rsid w:val="00890F4D"/>
    <w:rsid w:val="00971985"/>
    <w:rsid w:val="00A330FC"/>
    <w:rsid w:val="00AF56D8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3184</Words>
  <Characters>18151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17</cp:revision>
  <cp:lastPrinted>2019-09-25T06:02:00Z</cp:lastPrinted>
  <dcterms:created xsi:type="dcterms:W3CDTF">2017-12-25T05:55:00Z</dcterms:created>
  <dcterms:modified xsi:type="dcterms:W3CDTF">2022-08-04T11:36:00Z</dcterms:modified>
</cp:coreProperties>
</file>