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7786F3FA" w:rsidR="00AD4FD2" w:rsidRPr="00A42D69" w:rsidRDefault="00A412F3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A748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405A8A15" w:rsidR="00AD4FD2" w:rsidRPr="00A42D69" w:rsidRDefault="00DA7489" w:rsidP="00AD4FD2">
            <w:pPr>
              <w:spacing w:before="120" w:after="120"/>
              <w:jc w:val="both"/>
            </w:pPr>
            <w:r>
              <w:rPr>
                <w:i/>
              </w:rPr>
              <w:t>Malokarpatské partnerstvo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7C42F0E" w:rsidR="00AD4FD2" w:rsidRPr="00A42D69" w:rsidRDefault="00A412F3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017B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AE4FE9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AE4FE9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126A2D" w:rsidRPr="00334C9E" w14:paraId="4725DC76" w14:textId="77777777" w:rsidTr="00AE4FE9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6FC59AD4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0AD1998D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644E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5EA0D302" w14:textId="77777777" w:rsidR="00126A2D" w:rsidRPr="00A36753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ACBE94A" w14:textId="77777777" w:rsidR="00126A2D" w:rsidRPr="00A36753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 výsledkami,</w:t>
            </w:r>
          </w:p>
          <w:p w14:paraId="6F4E2449" w14:textId="5BC1957F" w:rsidR="00126A2D" w:rsidRPr="00334C9E" w:rsidRDefault="00126A2D" w:rsidP="00126A2D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2C910C45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1A9DA9D" w:rsidR="00126A2D" w:rsidRPr="00334C9E" w:rsidRDefault="00126A2D" w:rsidP="00126A2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2C3491E7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126A2D" w:rsidRPr="00334C9E" w14:paraId="1F6CDE03" w14:textId="77777777" w:rsidTr="00AE4FE9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126A2D" w:rsidRPr="00334C9E" w:rsidRDefault="00126A2D" w:rsidP="00126A2D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77CE0EBA" w:rsidR="00126A2D" w:rsidRPr="00334C9E" w:rsidRDefault="00126A2D" w:rsidP="00126A2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3717DE2C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126A2D" w:rsidRPr="00334C9E" w14:paraId="6C892805" w14:textId="77777777" w:rsidTr="00AE4FE9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BF30E" w14:textId="6D69D0E1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84490" w14:textId="0F7F3BA8" w:rsidR="00126A2D" w:rsidRPr="00334C9E" w:rsidRDefault="00126A2D" w:rsidP="00126A2D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B3867" w14:textId="1F204F82" w:rsidR="00126A2D" w:rsidRPr="00334C9E" w:rsidRDefault="00126A2D" w:rsidP="00126A2D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FBD6E" w14:textId="3596FFE6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0219" w14:textId="29B30757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44A74" w14:textId="542D67C6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126A2D" w:rsidRPr="00334C9E" w14:paraId="2A66FD33" w14:textId="77777777" w:rsidTr="00AE4FE9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35C2" w14:textId="77777777" w:rsidR="00126A2D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0289" w14:textId="77777777" w:rsidR="00126A2D" w:rsidRPr="00A36753" w:rsidRDefault="00126A2D" w:rsidP="00126A2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F7F1" w14:textId="77777777" w:rsidR="00126A2D" w:rsidRPr="0005141C" w:rsidRDefault="00126A2D" w:rsidP="00126A2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BEE8" w14:textId="77777777" w:rsidR="00126A2D" w:rsidRPr="00A36753" w:rsidRDefault="00126A2D" w:rsidP="00126A2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828E" w14:textId="6CF30898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44DF" w14:textId="429D9E1D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126A2D" w:rsidRPr="00334C9E" w14:paraId="51FD3206" w14:textId="77777777" w:rsidTr="00AE4FE9">
        <w:trPr>
          <w:trHeight w:val="51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49BB2" w14:textId="53825FAE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5B030" w14:textId="4B9D7FA2" w:rsidR="00126A2D" w:rsidRPr="00334C9E" w:rsidRDefault="00126A2D" w:rsidP="00126A2D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507F1" w14:textId="7436597E" w:rsidR="00126A2D" w:rsidRPr="00334C9E" w:rsidRDefault="00126A2D" w:rsidP="00126A2D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E6E9C" w14:textId="64142956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2A24" w14:textId="33C791C8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B8E40" w14:textId="0A3077EE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126A2D" w:rsidRPr="00334C9E" w14:paraId="0483BE52" w14:textId="77777777" w:rsidTr="00AE4FE9">
        <w:trPr>
          <w:trHeight w:val="51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484D" w14:textId="77777777" w:rsidR="00126A2D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9807" w14:textId="77777777" w:rsidR="00126A2D" w:rsidRPr="003B24FE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0727" w14:textId="77777777" w:rsidR="00126A2D" w:rsidRPr="003B24FE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4F5E" w14:textId="77777777" w:rsidR="00126A2D" w:rsidRPr="003B24FE" w:rsidRDefault="00126A2D" w:rsidP="00126A2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87B7" w14:textId="0075A9E0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4A7" w14:textId="3D02A3A2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126A2D" w:rsidRPr="00334C9E" w14:paraId="51DF1FE3" w14:textId="77777777" w:rsidTr="00AE4FE9">
        <w:trPr>
          <w:trHeight w:val="7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466AC0" w14:textId="7FA9C54D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A2243" w14:textId="70FB2C81" w:rsidR="00126A2D" w:rsidRP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14E5C" w14:textId="2CDE8E05" w:rsidR="00126A2D" w:rsidRP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82073" w14:textId="49845B38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AD86" w14:textId="6F239193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ACE09" w14:textId="4294A83E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126A2D" w:rsidRPr="00334C9E" w14:paraId="2ED538EA" w14:textId="77777777" w:rsidTr="00AE4FE9">
        <w:trPr>
          <w:trHeight w:val="75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2A19" w14:textId="77777777" w:rsidR="00126A2D" w:rsidRDefault="00126A2D" w:rsidP="00126A2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C58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FEF3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882C" w14:textId="77777777" w:rsidR="00126A2D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B5EF" w14:textId="1935495C" w:rsidR="00126A2D" w:rsidRPr="00334C9E" w:rsidRDefault="00126A2D" w:rsidP="00126A2D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6345" w14:textId="2C4BFCF4" w:rsidR="00126A2D" w:rsidRPr="00334C9E" w:rsidRDefault="00126A2D" w:rsidP="00126A2D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459EB" w:rsidRPr="00334C9E" w14:paraId="38C64911" w14:textId="77777777" w:rsidTr="00AE4FE9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126A2D" w:rsidRPr="00334C9E" w14:paraId="7A8CB3AD" w14:textId="77777777" w:rsidTr="00AE4FE9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0F5D900A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01C452EF" w:rsidR="00126A2D" w:rsidRPr="00AE4FE9" w:rsidRDefault="00126A2D" w:rsidP="00126A2D">
            <w:pPr>
              <w:rPr>
                <w:rFonts w:ascii="Arial" w:hAnsi="Arial" w:cs="Arial"/>
                <w:sz w:val="18"/>
                <w:szCs w:val="18"/>
              </w:rPr>
            </w:pPr>
            <w:r w:rsidRPr="00AE4FE9">
              <w:rPr>
                <w:rFonts w:ascii="Arial" w:hAnsi="Arial" w:cs="Arial"/>
                <w:sz w:val="18"/>
                <w:szCs w:val="18"/>
              </w:rPr>
              <w:t>Vhodnosť a prepojenosť navrhovaných aktivít projektu vo vzťahu k</w:t>
            </w:r>
            <w:r w:rsidR="006F1316">
              <w:rPr>
                <w:rFonts w:ascii="Arial" w:hAnsi="Arial" w:cs="Arial"/>
                <w:sz w:val="18"/>
                <w:szCs w:val="18"/>
              </w:rPr>
              <w:t> </w:t>
            </w:r>
            <w:r w:rsidRPr="00AE4FE9">
              <w:rPr>
                <w:rFonts w:ascii="Arial" w:hAnsi="Arial" w:cs="Arial"/>
                <w:sz w:val="18"/>
                <w:szCs w:val="18"/>
              </w:rPr>
              <w:t>východiskovej situácii a</w:t>
            </w:r>
            <w:r w:rsidR="006F1316">
              <w:rPr>
                <w:rFonts w:ascii="Arial" w:hAnsi="Arial" w:cs="Arial"/>
                <w:sz w:val="18"/>
                <w:szCs w:val="18"/>
              </w:rPr>
              <w:t> </w:t>
            </w:r>
            <w:r w:rsidRPr="00AE4FE9">
              <w:rPr>
                <w:rFonts w:ascii="Arial" w:hAnsi="Arial" w:cs="Arial"/>
                <w:sz w:val="18"/>
                <w:szCs w:val="18"/>
              </w:rPr>
              <w:t>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8839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5A89BA1D" w14:textId="77777777" w:rsidR="00126A2D" w:rsidRPr="00A36753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0B5C858" w14:textId="77777777" w:rsidR="00126A2D" w:rsidRPr="00A36753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nadväzujú na východiskovú situáciu,</w:t>
            </w:r>
          </w:p>
          <w:p w14:paraId="08D3C1B2" w14:textId="77777777" w:rsidR="00126A2D" w:rsidRPr="00A36753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sú dostatočne zrozumiteľné a je zrejmé, čo chce žiadateľ dosiahnuť,</w:t>
            </w:r>
          </w:p>
          <w:p w14:paraId="7A280F3C" w14:textId="3EBA8888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15148C18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62105A43" w:rsidR="00126A2D" w:rsidRPr="00334C9E" w:rsidRDefault="00126A2D" w:rsidP="00126A2D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35BC854E" w:rsidR="00126A2D" w:rsidRPr="00334C9E" w:rsidRDefault="006F1316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odôvodnen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 pohľadu východiskovej situácie,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zrozumiteľne definovan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jej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126A2D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realizáciou sa dosiahnu plánované ciele projektu.</w:t>
            </w:r>
          </w:p>
        </w:tc>
      </w:tr>
      <w:tr w:rsidR="00126A2D" w:rsidRPr="00334C9E" w14:paraId="0FCF77B2" w14:textId="77777777" w:rsidTr="00AE4FE9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16AFE88" w:rsidR="00126A2D" w:rsidRPr="00334C9E" w:rsidRDefault="00126A2D" w:rsidP="00126A2D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29BC8766" w:rsidR="00126A2D" w:rsidRPr="00334C9E" w:rsidRDefault="006F1316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nevyhnutn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126A2D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pre jeho realizáciu. Zistené nedostatky sú závažného charakteru</w:t>
            </w:r>
            <w:r w:rsidR="00126A2D"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9459EB" w:rsidRPr="00334C9E" w14:paraId="6823F141" w14:textId="77777777" w:rsidTr="00AE4FE9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26A2D" w:rsidRPr="00334C9E" w14:paraId="236D78E4" w14:textId="77777777" w:rsidTr="00AE4FE9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F73A110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61F694F0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4BBCA8E2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1FA7BCF2" w:rsidR="00126A2D" w:rsidRPr="00334C9E" w:rsidRDefault="00126A2D" w:rsidP="00126A2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1085766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80DA279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26A2D" w:rsidRPr="00334C9E" w14:paraId="1CE0D30F" w14:textId="77777777" w:rsidTr="00AE4FE9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26A2D" w:rsidRPr="00334C9E" w:rsidRDefault="00126A2D" w:rsidP="00126A2D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E1EBB32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0A3134B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9459EB" w:rsidRPr="00334C9E" w14:paraId="17ED5E9E" w14:textId="77777777" w:rsidTr="00AE4FE9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26A2D" w:rsidRPr="00334C9E" w14:paraId="013CC603" w14:textId="77777777" w:rsidTr="00AE4FE9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51A84CFE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E074A">
              <w:rPr>
                <w:rFonts w:asciiTheme="minorHAnsi" w:hAnsiTheme="minorHAnsi" w:cs="Arial"/>
                <w:color w:val="000000" w:themeColor="text1"/>
              </w:rPr>
              <w:t>4a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09E9B64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7B" w14:textId="77777777" w:rsidR="00126A2D" w:rsidRPr="003B24FE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120FBB98" w14:textId="77777777" w:rsidR="00126A2D" w:rsidRPr="003B24FE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 (obsahovo) oprávnené v zmysle podmienok výzvy,</w:t>
            </w:r>
          </w:p>
          <w:p w14:paraId="009C7BC2" w14:textId="77777777" w:rsidR="00126A2D" w:rsidRPr="003B24FE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 z hľadiska predpokladu naplnenia stanovených cieľov projektu,</w:t>
            </w:r>
          </w:p>
          <w:p w14:paraId="0E44642C" w14:textId="77777777" w:rsidR="00126A2D" w:rsidRPr="003B24FE" w:rsidRDefault="00126A2D" w:rsidP="00126A2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 na realizáciu aktivít projektu</w:t>
            </w:r>
          </w:p>
          <w:p w14:paraId="70C3A348" w14:textId="77777777" w:rsidR="00126A2D" w:rsidRPr="003B24FE" w:rsidRDefault="00126A2D" w:rsidP="00126A2D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1C5BE873" w:rsidR="00126A2D" w:rsidRPr="00334C9E" w:rsidRDefault="00126A2D" w:rsidP="00126A2D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0CF13336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1C465145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50A895D0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126A2D" w:rsidRPr="00334C9E" w14:paraId="5E94D42D" w14:textId="77777777" w:rsidTr="00AE4FE9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26A2D" w:rsidRPr="00334C9E" w:rsidRDefault="00126A2D" w:rsidP="00126A2D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6E882CEB" w:rsidR="00126A2D" w:rsidRPr="00334C9E" w:rsidRDefault="00126A2D" w:rsidP="00126A2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93023D6" w:rsidR="00126A2D" w:rsidRPr="00334C9E" w:rsidRDefault="00126A2D" w:rsidP="00126A2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126A2D" w:rsidRPr="00334C9E" w14:paraId="0FCF6E92" w14:textId="77777777" w:rsidTr="00AE4FE9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4C4BB" w14:textId="3B40B5B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C09F5" w14:textId="3C87FDE1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376C1" w14:textId="77777777" w:rsidR="00126A2D" w:rsidRPr="0035772F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138FB809" w14:textId="77777777" w:rsidR="00126A2D" w:rsidRPr="0035772F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0B93F6A8" w14:textId="77777777" w:rsidR="00126A2D" w:rsidRPr="0035772F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F66D58B" w14:textId="466A4626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B11A8" w14:textId="761205B4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43E8" w14:textId="2C71CBCB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6E802" w14:textId="24A3F8E6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26A2D" w:rsidRPr="00334C9E" w14:paraId="2B19E889" w14:textId="77777777" w:rsidTr="00AE4FE9">
        <w:trPr>
          <w:trHeight w:val="39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81A6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9486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9CA4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0FC1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203B" w14:textId="4190545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24FD" w14:textId="59005DB4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26A2D" w:rsidRPr="00334C9E" w14:paraId="39F947CF" w14:textId="77777777" w:rsidTr="00AE4FE9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2FE4D" w14:textId="67B07AB1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FC95D" w14:textId="77777777" w:rsidR="00126A2D" w:rsidRPr="0035772F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0DBCF8AA" w14:textId="77777777" w:rsidR="00126A2D" w:rsidRPr="0035772F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6432A59D" w14:textId="259C393F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CF528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2466067B" w14:textId="77777777" w:rsidR="00126A2D" w:rsidRPr="0005141C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9135567" w14:textId="77777777" w:rsidR="00126A2D" w:rsidRPr="009200DD" w:rsidRDefault="00126A2D" w:rsidP="00126A2D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0608697B" w14:textId="75C03D83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34750" w14:textId="6B04B669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814E" w14:textId="2ED6C2AC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484D8" w14:textId="7FF702F1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126A2D" w:rsidRPr="00334C9E" w14:paraId="2B8B9A3E" w14:textId="77777777" w:rsidTr="00AE4FE9">
        <w:trPr>
          <w:trHeight w:val="1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C1270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C3F55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68868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BC02B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8E9" w14:textId="4238DC2D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AC3F1" w14:textId="1A63714F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126A2D" w:rsidRPr="00334C9E" w14:paraId="19EFE7D2" w14:textId="77777777" w:rsidTr="00AE4FE9">
        <w:trPr>
          <w:trHeight w:val="1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EF25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1F54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BEE5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7D1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417D" w14:textId="73FE97B2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139A" w14:textId="090E8A1E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126A2D" w:rsidRPr="00334C9E" w14:paraId="2CD83A0B" w14:textId="77777777" w:rsidTr="00AE4FE9">
        <w:trPr>
          <w:trHeight w:val="39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B4B23" w14:textId="0F54D61B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68441" w14:textId="77777777" w:rsidR="00126A2D" w:rsidRPr="0035772F" w:rsidRDefault="00126A2D" w:rsidP="00126A2D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18CE52FC" w14:textId="432C7F2A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25C26" w14:textId="1D174806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E608" w14:textId="2132D8E3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C502" w14:textId="36B7339D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09A31" w14:textId="2E892189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126A2D" w:rsidRPr="00334C9E" w14:paraId="55359889" w14:textId="77777777" w:rsidTr="00AE4FE9">
        <w:trPr>
          <w:trHeight w:val="39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9578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E5CC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AEB5" w14:textId="77777777" w:rsidR="00126A2D" w:rsidRPr="00334C9E" w:rsidRDefault="00126A2D" w:rsidP="00126A2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294D" w14:textId="77777777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36C1" w14:textId="1F5762BE" w:rsidR="00126A2D" w:rsidRPr="00334C9E" w:rsidRDefault="00126A2D" w:rsidP="00126A2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6467" w14:textId="5DD84E59" w:rsidR="00126A2D" w:rsidRPr="00334C9E" w:rsidRDefault="00126A2D" w:rsidP="00126A2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447" w:type="dxa"/>
        <w:tblLayout w:type="fixed"/>
        <w:tblLook w:val="04A0" w:firstRow="1" w:lastRow="0" w:firstColumn="1" w:lastColumn="0" w:noHBand="0" w:noVBand="1"/>
      </w:tblPr>
      <w:tblGrid>
        <w:gridCol w:w="1814"/>
        <w:gridCol w:w="9805"/>
        <w:gridCol w:w="1247"/>
        <w:gridCol w:w="1361"/>
        <w:gridCol w:w="1220"/>
      </w:tblGrid>
      <w:tr w:rsidR="009459EB" w:rsidRPr="00334C9E" w14:paraId="7E06EA27" w14:textId="77777777" w:rsidTr="00AE4FE9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AE4FE9">
        <w:trPr>
          <w:trHeight w:val="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DD38218" w:rsidR="009459EB" w:rsidRPr="00334C9E" w:rsidRDefault="00770A6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4FBB1CCC" w:rsidR="009459EB" w:rsidRPr="006F1316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25F452AF" w:rsidR="009459EB" w:rsidRPr="00334C9E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1CB441D1" w:rsidR="009459EB" w:rsidRPr="00334C9E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70A6E" w:rsidRPr="00334C9E" w14:paraId="202A51FB" w14:textId="77777777" w:rsidTr="00AE4FE9">
        <w:trPr>
          <w:trHeight w:val="1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9DF353" w14:textId="77777777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939E" w14:textId="70D5B51E" w:rsidR="00770A6E" w:rsidRPr="00AE4FE9" w:rsidRDefault="00770A6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CD6C" w14:textId="46A168E1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647A" w14:textId="157CCACE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77A8" w14:textId="4A4DB655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770A6E" w:rsidRPr="00334C9E" w14:paraId="631CD19E" w14:textId="77777777" w:rsidTr="00AE4FE9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C740E" w14:textId="77777777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FD39" w14:textId="017926F2" w:rsidR="00770A6E" w:rsidRPr="00AE4FE9" w:rsidRDefault="00770A6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6021" w14:textId="7CB43E00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576" w14:textId="27BB327A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60AF" w14:textId="3941645E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2</w:t>
            </w:r>
          </w:p>
        </w:tc>
      </w:tr>
      <w:tr w:rsidR="00770A6E" w:rsidRPr="00334C9E" w14:paraId="654BE330" w14:textId="77777777" w:rsidTr="00AE4FE9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DAF061" w14:textId="77777777" w:rsidR="00770A6E" w:rsidRPr="00334C9E" w:rsidRDefault="00770A6E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861D" w14:textId="19BB11CC" w:rsidR="00770A6E" w:rsidRPr="00AE4FE9" w:rsidRDefault="00770A6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hAnsiTheme="minorHAnsi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EE50" w14:textId="0DB313D9" w:rsidR="00770A6E" w:rsidRPr="00AE4FE9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3C7E" w14:textId="62619EA6" w:rsidR="00770A6E" w:rsidRPr="00AE4FE9" w:rsidRDefault="00770A6E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87E9" w14:textId="2258B8B1" w:rsidR="00770A6E" w:rsidRPr="00AE4FE9" w:rsidRDefault="0066549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AE4FE9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2669FB7A" w:rsidR="009459EB" w:rsidRPr="00334C9E" w:rsidRDefault="00A56F04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665497" w:rsidRPr="00334C9E" w14:paraId="11EE6BC1" w14:textId="77777777" w:rsidTr="00AE4FE9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118D1DF2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5719D8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1934EFD4" w:rsidR="00665497" w:rsidRPr="006F1316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1EE159CE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63EF9BE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AE4FE9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AE13F7A" w:rsidR="009459EB" w:rsidRPr="00334C9E" w:rsidRDefault="00A56F04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665497" w:rsidRPr="00334C9E" w14:paraId="39B89E35" w14:textId="77777777" w:rsidTr="00AE4FE9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0877EC0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665497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30B5E52B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D255DBE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2D8A1891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AE4FE9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4B7F92" w:rsidR="009459EB" w:rsidRPr="00334C9E" w:rsidRDefault="00A56F04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665497" w:rsidRPr="00334C9E" w14:paraId="35F3BFA0" w14:textId="77777777" w:rsidTr="00AE4FE9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75D95EF" w:rsidR="00665497" w:rsidRPr="00AE4FE9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0DF44E31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0685DAD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EDEB8AC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665497" w:rsidRPr="00334C9E" w14:paraId="46586718" w14:textId="77777777" w:rsidTr="00AE4FE9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7725011" w:rsidR="00665497" w:rsidRPr="00334C9E" w:rsidRDefault="00665497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283F82C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BD49EBA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6DA3165" w:rsidR="00665497" w:rsidRPr="00334C9E" w:rsidRDefault="00665497" w:rsidP="006654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665497" w:rsidRPr="00334C9E" w14:paraId="2A597755" w14:textId="77777777" w:rsidTr="00AE4FE9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4A08" w14:textId="77777777" w:rsidR="00665497" w:rsidRPr="00334C9E" w:rsidRDefault="0066549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F0EC" w14:textId="2C6E9DFB" w:rsidR="00665497" w:rsidRPr="00AE4FE9" w:rsidRDefault="00A56F04" w:rsidP="00665497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 xml:space="preserve">Finančná charakteristika </w:t>
            </w:r>
            <w:r w:rsidR="00665497" w:rsidRPr="00AE4FE9">
              <w:rPr>
                <w:rFonts w:asciiTheme="minorHAnsi" w:eastAsiaTheme="minorHAnsi" w:hAnsiTheme="minorHAnsi" w:cs="Arial"/>
                <w:color w:val="000000" w:themeColor="text1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434F" w14:textId="2AAF7157" w:rsidR="00665497" w:rsidRPr="00AE4FE9" w:rsidRDefault="00A56F04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2AC" w14:textId="279BD134" w:rsidR="00665497" w:rsidRPr="00AE4FE9" w:rsidRDefault="00A56F04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335" w14:textId="1FB56D04" w:rsidR="00665497" w:rsidRPr="00AE4FE9" w:rsidRDefault="00A56F04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8</w:t>
            </w:r>
          </w:p>
        </w:tc>
      </w:tr>
      <w:tr w:rsidR="00A56F04" w:rsidRPr="00334C9E" w14:paraId="7597A4BF" w14:textId="77777777" w:rsidTr="00AE4FE9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A56F04" w:rsidRPr="00334C9E" w:rsidRDefault="00A56F04" w:rsidP="00A56F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204CDA6D" w:rsidR="00A56F04" w:rsidRPr="00AE4FE9" w:rsidRDefault="00A56F04" w:rsidP="00A56F04">
            <w:pPr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Finančná udržateľnosť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C8B312F" w:rsidR="00A56F04" w:rsidRPr="00334C9E" w:rsidRDefault="00A56F04" w:rsidP="00A56F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E4FE9">
              <w:rPr>
                <w:rFonts w:asciiTheme="minorHAnsi" w:eastAsia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2EABA27" w:rsidR="00A56F04" w:rsidRPr="00334C9E" w:rsidRDefault="00A56F04" w:rsidP="00A56F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1F46174" w:rsidR="00A56F04" w:rsidRPr="00334C9E" w:rsidRDefault="00A56F04" w:rsidP="00A56F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F1316"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AE4FE9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3E4D0216" w:rsidR="009459EB" w:rsidRPr="00334C9E" w:rsidRDefault="00A56F04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A56F04" w:rsidRPr="00334C9E" w14:paraId="470531BF" w14:textId="77777777" w:rsidTr="00AE4FE9">
        <w:trPr>
          <w:trHeight w:val="219"/>
        </w:trPr>
        <w:tc>
          <w:tcPr>
            <w:tcW w:w="1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6EDE" w14:textId="39EB6657" w:rsidR="00A56F04" w:rsidRPr="00334C9E" w:rsidRDefault="00A56F04" w:rsidP="00D114FB">
            <w:pPr>
              <w:rPr>
                <w:rFonts w:cs="Arial"/>
                <w:color w:val="000000" w:themeColor="text1"/>
              </w:rPr>
            </w:pPr>
            <w:r w:rsidRPr="00A56F04">
              <w:rPr>
                <w:rFonts w:cs="Arial"/>
                <w:color w:val="000000" w:themeColor="text1"/>
              </w:rPr>
              <w:t>Celkový možný počet dosiahnutých bodov: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27F1755" w14:textId="77777777" w:rsidR="00A56F04" w:rsidRPr="00334C9E" w:rsidRDefault="00A56F04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0AF0C2B" w14:textId="77777777" w:rsidR="00A56F04" w:rsidRPr="00334C9E" w:rsidRDefault="00A56F04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72A3DE" w14:textId="16C1E6F5" w:rsidR="00A56F04" w:rsidRDefault="00A56F04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12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1C79CA4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A56F04">
        <w:rPr>
          <w:rFonts w:cs="Arial"/>
          <w:b/>
          <w:color w:val="000000" w:themeColor="text1"/>
        </w:rPr>
        <w:t>8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8456E99" w:rsidR="00607288" w:rsidRPr="00A42D69" w:rsidRDefault="00A412F3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A748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460B797E" w:rsidR="00607288" w:rsidRPr="00A42D69" w:rsidRDefault="00DA7489" w:rsidP="00C47E32">
            <w:pPr>
              <w:spacing w:before="120" w:after="120"/>
              <w:jc w:val="both"/>
            </w:pPr>
            <w:r>
              <w:rPr>
                <w:i/>
              </w:rPr>
              <w:t>Malokarpatské partnerstvo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34103745" w:rsidR="00607288" w:rsidRPr="00A42D69" w:rsidRDefault="00A412F3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017B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299FD727" w14:textId="6A152CD5" w:rsidR="003B1FA9" w:rsidRPr="006F1316" w:rsidRDefault="003B1FA9" w:rsidP="00AE4FE9">
      <w:pPr>
        <w:pStyle w:val="Odsekzoznamu"/>
        <w:ind w:left="426"/>
        <w:jc w:val="both"/>
      </w:pPr>
      <w:r w:rsidRPr="00A654E1">
        <w:rPr>
          <w:rFonts w:asciiTheme="minorHAnsi" w:hAnsiTheme="minorHAnsi"/>
        </w:rPr>
        <w:t>Rozlišovac</w:t>
      </w:r>
      <w:r w:rsidR="006F1316">
        <w:rPr>
          <w:rFonts w:asciiTheme="minorHAnsi" w:hAnsiTheme="minorHAnsi"/>
        </w:rPr>
        <w:t>ím</w:t>
      </w:r>
      <w:r w:rsidRPr="00A654E1">
        <w:rPr>
          <w:rFonts w:asciiTheme="minorHAnsi" w:hAnsiTheme="minorHAnsi"/>
        </w:rPr>
        <w:t xml:space="preserve"> kritéri</w:t>
      </w:r>
      <w:r w:rsidR="006F1316">
        <w:rPr>
          <w:rFonts w:asciiTheme="minorHAnsi" w:hAnsiTheme="minorHAnsi"/>
        </w:rPr>
        <w:t>om je</w:t>
      </w:r>
      <w:r w:rsidRPr="00A654E1">
        <w:rPr>
          <w:rFonts w:asciiTheme="minorHAnsi" w:hAnsiTheme="minorHAnsi"/>
        </w:rPr>
        <w:t>:</w:t>
      </w:r>
      <w:r w:rsidR="006F1316">
        <w:rPr>
          <w:rFonts w:asciiTheme="minorHAnsi" w:hAnsiTheme="minorHAnsi"/>
        </w:rPr>
        <w:t xml:space="preserve"> </w:t>
      </w:r>
      <w:r w:rsidRPr="006F1316">
        <w:t>Posúdenie vplyvu a dopadu pro</w:t>
      </w:r>
      <w:r w:rsidR="00126A2D" w:rsidRPr="006F1316">
        <w:t>jektu na plnenie stratégiu CLLD</w:t>
      </w:r>
      <w:r w:rsidRPr="006F1316">
        <w:t>.</w:t>
      </w:r>
      <w:r w:rsidR="004938B3" w:rsidRPr="006F1316">
        <w:t xml:space="preserve"> </w:t>
      </w:r>
      <w:r w:rsidR="004938B3" w:rsidRPr="006F1316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5B0FB41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A5DFB3" w16cid:durableId="221F758D"/>
  <w16cid:commentId w16cid:paraId="48FF9AC1" w16cid:durableId="221F76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E52CF" w14:textId="77777777" w:rsidR="00A412F3" w:rsidRDefault="00A412F3" w:rsidP="006447D5">
      <w:pPr>
        <w:spacing w:after="0" w:line="240" w:lineRule="auto"/>
      </w:pPr>
      <w:r>
        <w:separator/>
      </w:r>
    </w:p>
  </w:endnote>
  <w:endnote w:type="continuationSeparator" w:id="0">
    <w:p w14:paraId="72BE1CE6" w14:textId="77777777" w:rsidR="00A412F3" w:rsidRDefault="00A412F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E4FE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DD544" w14:textId="77777777" w:rsidR="00A412F3" w:rsidRDefault="00A412F3" w:rsidP="006447D5">
      <w:pPr>
        <w:spacing w:after="0" w:line="240" w:lineRule="auto"/>
      </w:pPr>
      <w:r>
        <w:separator/>
      </w:r>
    </w:p>
  </w:footnote>
  <w:footnote w:type="continuationSeparator" w:id="0">
    <w:p w14:paraId="6FC46910" w14:textId="77777777" w:rsidR="00A412F3" w:rsidRDefault="00A412F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03477" w14:textId="4AB7CB69" w:rsidR="00E5263D" w:rsidRPr="001F013A" w:rsidRDefault="00DA7489" w:rsidP="001D5D3D">
    <w:pPr>
      <w:pStyle w:val="Hlavika"/>
      <w:rPr>
        <w:rFonts w:ascii="Arial Narrow" w:hAnsi="Arial Narrow"/>
        <w:sz w:val="20"/>
      </w:rPr>
    </w:pPr>
    <w:r w:rsidRPr="0019253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350F4460" wp14:editId="6E48D689">
          <wp:simplePos x="0" y="0"/>
          <wp:positionH relativeFrom="column">
            <wp:posOffset>333375</wp:posOffset>
          </wp:positionH>
          <wp:positionV relativeFrom="paragraph">
            <wp:posOffset>-142875</wp:posOffset>
          </wp:positionV>
          <wp:extent cx="542290" cy="54229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274B4C89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5A307F5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7"/>
  </w:num>
  <w:num w:numId="5">
    <w:abstractNumId w:val="28"/>
  </w:num>
  <w:num w:numId="6">
    <w:abstractNumId w:val="7"/>
  </w:num>
  <w:num w:numId="7">
    <w:abstractNumId w:val="25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4"/>
  </w:num>
  <w:num w:numId="14">
    <w:abstractNumId w:val="20"/>
  </w:num>
  <w:num w:numId="15">
    <w:abstractNumId w:val="13"/>
  </w:num>
  <w:num w:numId="16">
    <w:abstractNumId w:val="8"/>
  </w:num>
  <w:num w:numId="17">
    <w:abstractNumId w:val="18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0"/>
  </w:num>
  <w:num w:numId="23">
    <w:abstractNumId w:val="6"/>
  </w:num>
  <w:num w:numId="24">
    <w:abstractNumId w:val="30"/>
  </w:num>
  <w:num w:numId="25">
    <w:abstractNumId w:val="1"/>
  </w:num>
  <w:num w:numId="26">
    <w:abstractNumId w:val="6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17B1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6A2D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585D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535"/>
    <w:rsid w:val="00192A08"/>
    <w:rsid w:val="00196B0E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6AE4"/>
    <w:rsid w:val="002573C6"/>
    <w:rsid w:val="00260B63"/>
    <w:rsid w:val="00262784"/>
    <w:rsid w:val="0026623F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37AF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27CE"/>
    <w:rsid w:val="005D034C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5497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1316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0A6E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12F3"/>
    <w:rsid w:val="00A44DAE"/>
    <w:rsid w:val="00A456CB"/>
    <w:rsid w:val="00A461B3"/>
    <w:rsid w:val="00A46E2E"/>
    <w:rsid w:val="00A5497F"/>
    <w:rsid w:val="00A56F04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4FE9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6EED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A7489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229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4E44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0D168F"/>
    <w:rsid w:val="00163B11"/>
    <w:rsid w:val="00212C3B"/>
    <w:rsid w:val="003C6258"/>
    <w:rsid w:val="00425E65"/>
    <w:rsid w:val="005A4146"/>
    <w:rsid w:val="006601DE"/>
    <w:rsid w:val="006759F0"/>
    <w:rsid w:val="006B3B1E"/>
    <w:rsid w:val="00891C11"/>
    <w:rsid w:val="00AD089D"/>
    <w:rsid w:val="00B20F1E"/>
    <w:rsid w:val="00B874A2"/>
    <w:rsid w:val="00D53888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94034-34A8-4C9D-A2D2-DE3EC8423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2020-03-24T09:34:00Z</dcterms:created>
  <dcterms:modified xsi:type="dcterms:W3CDTF">2020-03-25T11:02:00Z</dcterms:modified>
</cp:coreProperties>
</file>